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211" w:rsidRDefault="004D3211" w:rsidP="004D3211">
      <w:pPr>
        <w:jc w:val="center"/>
      </w:pPr>
      <w:r>
        <w:t>ABSTRACT</w:t>
      </w:r>
    </w:p>
    <w:p w:rsidR="004D3211" w:rsidRDefault="004D3211" w:rsidP="004D3211">
      <w:pPr>
        <w:jc w:val="center"/>
      </w:pPr>
      <w:r>
        <w:t>The Irrelevance of Intentions to Refer:</w:t>
      </w:r>
    </w:p>
    <w:p w:rsidR="004D3211" w:rsidRDefault="004D3211" w:rsidP="004D3211">
      <w:pPr>
        <w:jc w:val="center"/>
      </w:pPr>
      <w:r>
        <w:t xml:space="preserve">Demonstratives and Demonstrations </w:t>
      </w:r>
    </w:p>
    <w:p w:rsidR="008D449D" w:rsidRDefault="008D449D" w:rsidP="008D449D">
      <w:pPr>
        <w:jc w:val="center"/>
      </w:pPr>
      <w:r>
        <w:t xml:space="preserve">Forthcoming in a book symposium in </w:t>
      </w:r>
      <w:r w:rsidRPr="00A22AB6">
        <w:rPr>
          <w:i/>
        </w:rPr>
        <w:t>Philosophical Studies</w:t>
      </w:r>
    </w:p>
    <w:p w:rsidR="008D449D" w:rsidRDefault="008D449D" w:rsidP="004D3211">
      <w:pPr>
        <w:jc w:val="center"/>
      </w:pPr>
      <w:bookmarkStart w:id="0" w:name="_GoBack"/>
      <w:bookmarkEnd w:id="0"/>
    </w:p>
    <w:p w:rsidR="004D3211" w:rsidRDefault="004D3211" w:rsidP="004D3211">
      <w:pPr>
        <w:jc w:val="center"/>
      </w:pPr>
      <w:r>
        <w:t>Michael Devitt</w:t>
      </w:r>
    </w:p>
    <w:p w:rsidR="004D3211" w:rsidRDefault="007D4B88" w:rsidP="004D3211">
      <w:r>
        <w:t>According to</w:t>
      </w:r>
      <w:r w:rsidRPr="007D4B88">
        <w:t xml:space="preserve"> </w:t>
      </w:r>
      <w:r>
        <w:t xml:space="preserve">Mario </w:t>
      </w:r>
      <w:r w:rsidRPr="00944B11">
        <w:t>Gómez-Torrente</w:t>
      </w:r>
      <w:r>
        <w:t xml:space="preserve"> i</w:t>
      </w:r>
      <w:r w:rsidR="004D3211">
        <w:t xml:space="preserve">n </w:t>
      </w:r>
      <w:r w:rsidR="004D3211" w:rsidRPr="003133B7">
        <w:rPr>
          <w:i/>
        </w:rPr>
        <w:t>Roads to Reference</w:t>
      </w:r>
      <w:r>
        <w:t xml:space="preserve">, </w:t>
      </w:r>
      <w:r w:rsidR="009D377D">
        <w:t xml:space="preserve">the reference of </w:t>
      </w:r>
      <w:r>
        <w:t xml:space="preserve">a demonstrative </w:t>
      </w:r>
      <w:r w:rsidR="009D377D">
        <w:t>is fixed in</w:t>
      </w:r>
      <w:r>
        <w:t xml:space="preserve"> an object </w:t>
      </w:r>
      <w:r w:rsidR="009D377D">
        <w:t>by the speaker’s referential intentions</w:t>
      </w:r>
      <w:r w:rsidR="002B7F0C">
        <w:t xml:space="preserve"> (IRH)</w:t>
      </w:r>
      <w:r w:rsidR="009D377D">
        <w:t>.</w:t>
      </w:r>
      <w:r w:rsidR="004D3211">
        <w:t xml:space="preserve"> I argue that this is a mistake</w:t>
      </w:r>
      <w:r w:rsidR="009D377D">
        <w:t>.</w:t>
      </w:r>
      <w:r w:rsidR="004D3211">
        <w:t xml:space="preserve"> </w:t>
      </w:r>
      <w:r w:rsidR="009D377D">
        <w:t xml:space="preserve">First, I </w:t>
      </w:r>
      <w:r w:rsidR="002B7F0C">
        <w:t>draw attention to</w:t>
      </w:r>
      <w:r w:rsidR="009D377D">
        <w:t xml:space="preserve"> a venerable alternative theory that </w:t>
      </w:r>
      <w:r w:rsidR="004D3211" w:rsidRPr="00944B11">
        <w:t>Gómez-Torrente</w:t>
      </w:r>
      <w:r>
        <w:t xml:space="preserve"> surprisingly</w:t>
      </w:r>
      <w:r w:rsidR="004D3211">
        <w:t xml:space="preserve"> overlooks</w:t>
      </w:r>
      <w:r w:rsidR="009D377D">
        <w:t xml:space="preserve">: the reference is fixed in an object directly by a relation established in perceiving the object. Next I criticize IRH, arguing that it is implausible, redundant, and misleading. Finally, I </w:t>
      </w:r>
      <w:r w:rsidR="004D3211">
        <w:t>present a theory of demonstrat</w:t>
      </w:r>
      <w:r w:rsidR="004D3211" w:rsidRPr="009F5B60">
        <w:rPr>
          <w:i/>
        </w:rPr>
        <w:t>ions</w:t>
      </w:r>
      <w:r w:rsidR="00A90FB1">
        <w:t xml:space="preserve"> that is like the alternative theory for demonstratives.</w:t>
      </w:r>
      <w:r w:rsidR="004D3211">
        <w:t xml:space="preserve"> For, though demonstrat</w:t>
      </w:r>
      <w:r w:rsidR="004D3211" w:rsidRPr="009F5B60">
        <w:t>ions</w:t>
      </w:r>
      <w:r w:rsidR="004D3211">
        <w:t xml:space="preserve"> do not determine the reference of demonstra</w:t>
      </w:r>
      <w:r w:rsidR="004D3211" w:rsidRPr="00527F52">
        <w:t>tives</w:t>
      </w:r>
      <w:r w:rsidR="004D3211">
        <w:t xml:space="preserve">, they play an independent referential role which is important in explaining David Kaplan’s famous Carnap-Agnew example and many others including some of </w:t>
      </w:r>
      <w:r w:rsidR="004D3211" w:rsidRPr="00944B11">
        <w:t>Gómez-Torrente</w:t>
      </w:r>
      <w:r w:rsidR="004D3211">
        <w:t>’s.</w:t>
      </w:r>
    </w:p>
    <w:p w:rsidR="0053166B" w:rsidRDefault="0053166B"/>
    <w:sectPr w:rsidR="005316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1144" w:rsidRDefault="00071144" w:rsidP="004D3211">
      <w:r>
        <w:separator/>
      </w:r>
    </w:p>
  </w:endnote>
  <w:endnote w:type="continuationSeparator" w:id="0">
    <w:p w:rsidR="00071144" w:rsidRDefault="00071144" w:rsidP="004D3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1144" w:rsidRDefault="00071144" w:rsidP="004D3211">
      <w:r>
        <w:separator/>
      </w:r>
    </w:p>
  </w:footnote>
  <w:footnote w:type="continuationSeparator" w:id="0">
    <w:p w:rsidR="00071144" w:rsidRDefault="00071144" w:rsidP="004D32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211"/>
    <w:rsid w:val="00071144"/>
    <w:rsid w:val="002B7F0C"/>
    <w:rsid w:val="00390482"/>
    <w:rsid w:val="004D3211"/>
    <w:rsid w:val="0053166B"/>
    <w:rsid w:val="00537349"/>
    <w:rsid w:val="007D4B88"/>
    <w:rsid w:val="008D449D"/>
    <w:rsid w:val="009D377D"/>
    <w:rsid w:val="00A90FB1"/>
    <w:rsid w:val="00A947F3"/>
    <w:rsid w:val="00DA6F60"/>
    <w:rsid w:val="00DD7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493F27"/>
  <w15:chartTrackingRefBased/>
  <w15:docId w15:val="{9B6E962B-E6B1-48D6-ACB3-C1EAA60AB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2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rsid w:val="004D3211"/>
    <w:pPr>
      <w:widowControl w:val="0"/>
    </w:pPr>
    <w:rPr>
      <w:rFonts w:eastAsia="Times New Roman" w:cs="Times New Roman"/>
      <w:snapToGrid w:val="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D3211"/>
    <w:rPr>
      <w:rFonts w:eastAsia="Times New Roman" w:cs="Times New Roman"/>
      <w:snapToGrid w:val="0"/>
      <w:szCs w:val="20"/>
    </w:rPr>
  </w:style>
  <w:style w:type="character" w:styleId="FootnoteReference">
    <w:name w:val="footnote reference"/>
    <w:basedOn w:val="DefaultParagraphFont"/>
    <w:rsid w:val="004D32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CUNY Graduate Center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Devitt, Michael</dc:creator>
  <cp:keywords/>
  <dc:description/>
  <cp:lastModifiedBy>Devitt, Michael</cp:lastModifiedBy>
  <cp:revision>3</cp:revision>
  <dcterms:created xsi:type="dcterms:W3CDTF">2021-02-15T21:58:00Z</dcterms:created>
  <dcterms:modified xsi:type="dcterms:W3CDTF">2021-02-15T22:48:00Z</dcterms:modified>
</cp:coreProperties>
</file>